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240" w:before="0" w:line="240" w:lineRule="auto"/>
        <w:rPr>
          <w:rFonts w:ascii="Arial" w:cs="Arial" w:eastAsia="Arial" w:hAnsi="Arial"/>
          <w:b w:val="1"/>
          <w:color w:val="000000"/>
          <w:sz w:val="36"/>
          <w:szCs w:val="36"/>
        </w:rPr>
        <w:sectPr>
          <w:headerReference r:id="rId6" w:type="default"/>
          <w:footerReference r:id="rId7" w:type="defaul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02">
      <w:pPr>
        <w:keepNext w:val="1"/>
        <w:spacing w:after="240" w:before="0" w:line="240" w:lineRule="auto"/>
        <w:rPr/>
      </w:pPr>
      <w:r w:rsidDel="00000000" w:rsidR="00000000" w:rsidRPr="00000000">
        <w:rPr>
          <w:rFonts w:ascii="Arial" w:cs="Arial" w:eastAsia="Arial" w:hAnsi="Arial"/>
          <w:b w:val="1"/>
          <w:color w:val="000000"/>
          <w:sz w:val="36"/>
          <w:szCs w:val="36"/>
          <w:rtl w:val="0"/>
        </w:rPr>
        <w:t xml:space="preserve">Call-Off Schedule 14 (Service Levels)</w:t>
      </w:r>
      <w:r w:rsidDel="00000000" w:rsidR="00000000" w:rsidRPr="00000000">
        <w:rPr>
          <w:rtl w:val="0"/>
        </w:rPr>
      </w:r>
    </w:p>
    <w:p w:rsidR="00000000" w:rsidDel="00000000" w:rsidP="00000000" w:rsidRDefault="00000000" w:rsidRPr="00000000" w14:paraId="00000003">
      <w:pPr>
        <w:numPr>
          <w:ilvl w:val="0"/>
          <w:numId w:val="3"/>
        </w:numP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numPr>
          <w:ilvl w:val="1"/>
          <w:numId w:val="3"/>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851.0000000000001" w:type="dxa"/>
        <w:tblLayout w:type="fixed"/>
        <w:tblLook w:val="00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spacing w:after="120" w:before="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spacing w:after="120" w:before="0" w:line="240" w:lineRule="auto"/>
              <w:ind w:left="-108" w:firstLine="0"/>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07">
            <w:pPr>
              <w:spacing w:after="120" w:before="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8">
            <w:pPr>
              <w:tabs>
                <w:tab w:val="left" w:leader="none" w:pos="-179"/>
                <w:tab w:val="left" w:leader="none" w:pos="-9"/>
              </w:tabs>
              <w:spacing w:after="120" w:before="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tabs>
                <w:tab w:val="left" w:leader="none" w:pos="-179"/>
                <w:tab w:val="left" w:leader="none" w:pos="-9"/>
              </w:tabs>
              <w:spacing w:after="120" w:before="0" w:line="240" w:lineRule="auto"/>
              <w:ind w:left="170" w:hanging="170"/>
              <w:rPr/>
            </w:pPr>
            <w:r w:rsidDel="00000000" w:rsidR="00000000" w:rsidRPr="00000000">
              <w:rPr>
                <w:rFonts w:ascii="Arial" w:cs="Arial" w:eastAsia="Arial" w:hAnsi="Arial"/>
                <w:color w:val="000000"/>
                <w:sz w:val="24"/>
                <w:szCs w:val="24"/>
                <w:rtl w:val="0"/>
              </w:rPr>
              <w:t xml:space="preserve">has the meaning given to it in the Order Form;</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A">
            <w:pPr>
              <w:spacing w:after="120" w:before="0" w:line="240" w:lineRule="auto"/>
              <w:ind w:left="-108" w:firstLine="0"/>
              <w:rPr/>
            </w:pPr>
            <w:r w:rsidDel="00000000" w:rsidR="00000000" w:rsidRPr="00000000">
              <w:rPr>
                <w:rFonts w:ascii="Arial" w:cs="Arial" w:eastAsia="Arial" w:hAnsi="Arial"/>
                <w:b w:val="1"/>
                <w:color w:val="000000"/>
                <w:sz w:val="24"/>
                <w:szCs w:val="24"/>
                <w:rtl w:val="0"/>
              </w:rPr>
              <w:t xml:space="preserve">"Service Credits"</w:t>
            </w:r>
            <w:r w:rsidDel="00000000" w:rsidR="00000000" w:rsidRPr="00000000">
              <w:rPr>
                <w:rtl w:val="0"/>
              </w:rPr>
            </w:r>
          </w:p>
        </w:tc>
        <w:tc>
          <w:tcPr>
            <w:shd w:fill="auto" w:val="clear"/>
          </w:tcPr>
          <w:p w:rsidR="00000000" w:rsidDel="00000000" w:rsidP="00000000" w:rsidRDefault="00000000" w:rsidRPr="00000000" w14:paraId="0000000B">
            <w:pPr>
              <w:numPr>
                <w:ilvl w:val="0"/>
                <w:numId w:val="1"/>
              </w:numPr>
              <w:tabs>
                <w:tab w:val="left" w:leader="none" w:pos="-179"/>
                <w:tab w:val="left" w:leader="none" w:pos="-9"/>
              </w:tabs>
              <w:spacing w:after="120" w:before="0" w:line="240" w:lineRule="auto"/>
              <w:ind w:left="170" w:hanging="170"/>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r w:rsidDel="00000000" w:rsidR="00000000" w:rsidRPr="00000000">
              <w:rPr>
                <w:rtl w:val="0"/>
              </w:rPr>
            </w:r>
          </w:p>
        </w:tc>
      </w:tr>
      <w:tr>
        <w:trPr>
          <w:cantSplit w:val="0"/>
          <w:trHeight w:val="359" w:hRule="atLeast"/>
          <w:tblHeader w:val="0"/>
        </w:trPr>
        <w:tc>
          <w:tcPr>
            <w:shd w:fill="auto" w:val="clear"/>
          </w:tcPr>
          <w:p w:rsidR="00000000" w:rsidDel="00000000" w:rsidP="00000000" w:rsidRDefault="00000000" w:rsidRPr="00000000" w14:paraId="0000000C">
            <w:pPr>
              <w:spacing w:after="120" w:before="0" w:line="240" w:lineRule="auto"/>
              <w:ind w:left="-108" w:firstLine="0"/>
              <w:rPr/>
            </w:pPr>
            <w:r w:rsidDel="00000000" w:rsidR="00000000" w:rsidRPr="00000000">
              <w:rPr>
                <w:rFonts w:ascii="Arial" w:cs="Arial" w:eastAsia="Arial" w:hAnsi="Arial"/>
                <w:b w:val="1"/>
                <w:color w:val="000000"/>
                <w:sz w:val="24"/>
                <w:szCs w:val="24"/>
                <w:rtl w:val="0"/>
              </w:rPr>
              <w:t xml:space="preserve">"Service Credit Cap"</w:t>
            </w:r>
            <w:r w:rsidDel="00000000" w:rsidR="00000000" w:rsidRPr="00000000">
              <w:rPr>
                <w:rtl w:val="0"/>
              </w:rPr>
            </w:r>
          </w:p>
        </w:tc>
        <w:tc>
          <w:tcPr>
            <w:shd w:fill="auto" w:val="clear"/>
          </w:tcPr>
          <w:p w:rsidR="00000000" w:rsidDel="00000000" w:rsidP="00000000" w:rsidRDefault="00000000" w:rsidRPr="00000000" w14:paraId="0000000D">
            <w:pPr>
              <w:numPr>
                <w:ilvl w:val="0"/>
                <w:numId w:val="1"/>
              </w:numPr>
              <w:tabs>
                <w:tab w:val="left" w:leader="none" w:pos="-179"/>
                <w:tab w:val="left" w:leader="none" w:pos="-9"/>
              </w:tabs>
              <w:spacing w:after="120" w:before="0" w:line="240" w:lineRule="auto"/>
              <w:ind w:left="170" w:hanging="170"/>
              <w:rPr/>
            </w:pPr>
            <w:r w:rsidDel="00000000" w:rsidR="00000000" w:rsidRPr="00000000">
              <w:rPr>
                <w:rFonts w:ascii="Arial" w:cs="Arial" w:eastAsia="Arial" w:hAnsi="Arial"/>
                <w:color w:val="000000"/>
                <w:sz w:val="24"/>
                <w:szCs w:val="24"/>
                <w:rtl w:val="0"/>
              </w:rPr>
              <w:t xml:space="preserve">has the meaning given to it in the Order Form;</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E">
            <w:pPr>
              <w:spacing w:after="120" w:before="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F">
            <w:pPr>
              <w:numPr>
                <w:ilvl w:val="0"/>
                <w:numId w:val="1"/>
              </w:numPr>
              <w:tabs>
                <w:tab w:val="left" w:leader="none" w:pos="-179"/>
                <w:tab w:val="left" w:leader="none" w:pos="-9"/>
              </w:tabs>
              <w:spacing w:after="120" w:before="0" w:line="240" w:lineRule="auto"/>
              <w:ind w:left="170" w:hanging="17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spacing w:after="120" w:before="0" w:line="240" w:lineRule="auto"/>
              <w:ind w:left="-108" w:firstLine="0"/>
              <w:rPr/>
            </w:pPr>
            <w:r w:rsidDel="00000000" w:rsidR="00000000" w:rsidRPr="00000000">
              <w:rPr>
                <w:rFonts w:ascii="Arial" w:cs="Arial" w:eastAsia="Arial" w:hAnsi="Arial"/>
                <w:b w:val="1"/>
                <w:color w:val="000000"/>
                <w:sz w:val="24"/>
                <w:szCs w:val="24"/>
                <w:rtl w:val="0"/>
              </w:rPr>
              <w:t xml:space="preserve">"Service Level Failure"</w:t>
            </w:r>
            <w:r w:rsidDel="00000000" w:rsidR="00000000" w:rsidRPr="00000000">
              <w:rPr>
                <w:rtl w:val="0"/>
              </w:rPr>
            </w:r>
          </w:p>
        </w:tc>
        <w:tc>
          <w:tcPr>
            <w:shd w:fill="auto" w:val="clear"/>
          </w:tcPr>
          <w:p w:rsidR="00000000" w:rsidDel="00000000" w:rsidP="00000000" w:rsidRDefault="00000000" w:rsidRPr="00000000" w14:paraId="00000011">
            <w:pPr>
              <w:numPr>
                <w:ilvl w:val="0"/>
                <w:numId w:val="1"/>
              </w:numPr>
              <w:tabs>
                <w:tab w:val="left" w:leader="none" w:pos="-179"/>
                <w:tab w:val="left" w:leader="none" w:pos="-9"/>
              </w:tabs>
              <w:spacing w:after="120" w:before="0" w:line="240" w:lineRule="auto"/>
              <w:ind w:left="170" w:hanging="170"/>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2">
            <w:pPr>
              <w:spacing w:after="120" w:before="0" w:line="240" w:lineRule="auto"/>
              <w:ind w:left="-108" w:firstLine="0"/>
              <w:rPr/>
            </w:pPr>
            <w:r w:rsidDel="00000000" w:rsidR="00000000" w:rsidRPr="00000000">
              <w:rPr>
                <w:rFonts w:ascii="Arial" w:cs="Arial" w:eastAsia="Arial" w:hAnsi="Arial"/>
                <w:b w:val="1"/>
                <w:color w:val="000000"/>
                <w:sz w:val="24"/>
                <w:szCs w:val="24"/>
                <w:rtl w:val="0"/>
              </w:rPr>
              <w:t xml:space="preserve">"Service Level Performance Measure"</w:t>
            </w:r>
            <w:r w:rsidDel="00000000" w:rsidR="00000000" w:rsidRPr="00000000">
              <w:rPr>
                <w:rtl w:val="0"/>
              </w:rPr>
            </w:r>
          </w:p>
        </w:tc>
        <w:tc>
          <w:tcPr>
            <w:shd w:fill="auto" w:val="clear"/>
          </w:tcPr>
          <w:p w:rsidR="00000000" w:rsidDel="00000000" w:rsidP="00000000" w:rsidRDefault="00000000" w:rsidRPr="00000000" w14:paraId="00000013">
            <w:pPr>
              <w:numPr>
                <w:ilvl w:val="0"/>
                <w:numId w:val="1"/>
              </w:numPr>
              <w:tabs>
                <w:tab w:val="left" w:leader="none" w:pos="-179"/>
                <w:tab w:val="left" w:leader="none" w:pos="-9"/>
              </w:tabs>
              <w:spacing w:after="120" w:before="0" w:line="240" w:lineRule="auto"/>
              <w:ind w:left="170" w:hanging="170"/>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4">
            <w:pPr>
              <w:spacing w:after="120" w:before="0" w:line="240" w:lineRule="auto"/>
              <w:ind w:left="-108" w:firstLine="0"/>
              <w:rPr/>
            </w:pPr>
            <w:r w:rsidDel="00000000" w:rsidR="00000000" w:rsidRPr="00000000">
              <w:rPr>
                <w:rFonts w:ascii="Arial" w:cs="Arial" w:eastAsia="Arial" w:hAnsi="Arial"/>
                <w:b w:val="1"/>
                <w:color w:val="000000"/>
                <w:sz w:val="24"/>
                <w:szCs w:val="24"/>
                <w:rtl w:val="0"/>
              </w:rPr>
              <w:t xml:space="preserve">"Service Level Threshold"</w:t>
            </w:r>
            <w:r w:rsidDel="00000000" w:rsidR="00000000" w:rsidRPr="00000000">
              <w:rPr>
                <w:rtl w:val="0"/>
              </w:rPr>
            </w:r>
          </w:p>
        </w:tc>
        <w:tc>
          <w:tcPr>
            <w:shd w:fill="auto" w:val="clear"/>
          </w:tcPr>
          <w:p w:rsidR="00000000" w:rsidDel="00000000" w:rsidP="00000000" w:rsidRDefault="00000000" w:rsidRPr="00000000" w14:paraId="00000015">
            <w:pPr>
              <w:numPr>
                <w:ilvl w:val="0"/>
                <w:numId w:val="1"/>
              </w:numPr>
              <w:tabs>
                <w:tab w:val="left" w:leader="none" w:pos="-179"/>
                <w:tab w:val="left" w:leader="none" w:pos="-9"/>
              </w:tabs>
              <w:spacing w:after="120" w:before="0" w:line="240" w:lineRule="auto"/>
              <w:ind w:left="170" w:hanging="170"/>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r w:rsidDel="00000000" w:rsidR="00000000" w:rsidRPr="00000000">
              <w:rPr>
                <w:rtl w:val="0"/>
              </w:rPr>
            </w:r>
          </w:p>
        </w:tc>
      </w:tr>
    </w:tbl>
    <w:p w:rsidR="00000000" w:rsidDel="00000000" w:rsidP="00000000" w:rsidRDefault="00000000" w:rsidRPr="00000000" w14:paraId="00000016">
      <w:pPr>
        <w:numPr>
          <w:ilvl w:val="0"/>
          <w:numId w:val="3"/>
        </w:numP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numPr>
          <w:ilvl w:val="1"/>
          <w:numId w:val="3"/>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numPr>
          <w:ilvl w:val="1"/>
          <w:numId w:val="3"/>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numPr>
          <w:ilvl w:val="1"/>
          <w:numId w:val="3"/>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A">
      <w:pPr>
        <w:numPr>
          <w:ilvl w:val="1"/>
          <w:numId w:val="3"/>
        </w:numPr>
        <w:spacing w:after="120" w:before="120" w:line="240" w:lineRule="auto"/>
        <w:ind w:left="1440" w:hanging="720"/>
        <w:rPr/>
      </w:pPr>
      <w:bookmarkStart w:colFirst="0" w:colLast="0" w:name="_a8lfdoxiw69i" w:id="0"/>
      <w:bookmarkEnd w:id="0"/>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numPr>
          <w:ilvl w:val="2"/>
          <w:numId w:val="3"/>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C">
      <w:pPr>
        <w:numPr>
          <w:ilvl w:val="2"/>
          <w:numId w:val="3"/>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Service Level Failure:</w:t>
      </w:r>
      <w:r w:rsidDel="00000000" w:rsidR="00000000" w:rsidRPr="00000000">
        <w:rPr>
          <w:rtl w:val="0"/>
        </w:rPr>
      </w:r>
    </w:p>
    <w:p w:rsidR="00000000" w:rsidDel="00000000" w:rsidP="00000000" w:rsidRDefault="00000000" w:rsidRPr="00000000" w14:paraId="0000001D">
      <w:pPr>
        <w:numPr>
          <w:ilvl w:val="3"/>
          <w:numId w:val="3"/>
        </w:numP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exceeds the relevant Service Level Threshold;</w:t>
      </w:r>
      <w:r w:rsidDel="00000000" w:rsidR="00000000" w:rsidRPr="00000000">
        <w:rPr>
          <w:rtl w:val="0"/>
        </w:rPr>
      </w:r>
    </w:p>
    <w:p w:rsidR="00000000" w:rsidDel="00000000" w:rsidP="00000000" w:rsidRDefault="00000000" w:rsidRPr="00000000" w14:paraId="0000001E">
      <w:pPr>
        <w:numPr>
          <w:ilvl w:val="3"/>
          <w:numId w:val="3"/>
        </w:numP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has arisen due to a Prohibited Act or wilful Default by the Supplier;</w:t>
      </w:r>
      <w:r w:rsidDel="00000000" w:rsidR="00000000" w:rsidRPr="00000000">
        <w:rPr>
          <w:rtl w:val="0"/>
        </w:rPr>
      </w:r>
    </w:p>
    <w:p w:rsidR="00000000" w:rsidDel="00000000" w:rsidP="00000000" w:rsidRDefault="00000000" w:rsidRPr="00000000" w14:paraId="0000001F">
      <w:pPr>
        <w:numPr>
          <w:ilvl w:val="3"/>
          <w:numId w:val="3"/>
        </w:numP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results in the corruption or loss of any Government Data; and/or</w:t>
      </w:r>
      <w:r w:rsidDel="00000000" w:rsidR="00000000" w:rsidRPr="00000000">
        <w:rPr>
          <w:rtl w:val="0"/>
        </w:rPr>
      </w:r>
    </w:p>
    <w:p w:rsidR="00000000" w:rsidDel="00000000" w:rsidP="00000000" w:rsidRDefault="00000000" w:rsidRPr="00000000" w14:paraId="00000020">
      <w:pPr>
        <w:numPr>
          <w:ilvl w:val="3"/>
          <w:numId w:val="3"/>
        </w:numP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r w:rsidDel="00000000" w:rsidR="00000000" w:rsidRPr="00000000">
        <w:rPr>
          <w:rtl w:val="0"/>
        </w:rPr>
      </w:r>
    </w:p>
    <w:p w:rsidR="00000000" w:rsidDel="00000000" w:rsidP="00000000" w:rsidRDefault="00000000" w:rsidRPr="00000000" w14:paraId="00000021">
      <w:pPr>
        <w:numPr>
          <w:ilvl w:val="2"/>
          <w:numId w:val="3"/>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Buyer is entitled to or does terminate this Contract pursuant to Clause 10.4 (CCS and Buyer Termination Rights).</w:t>
      </w:r>
      <w:r w:rsidDel="00000000" w:rsidR="00000000" w:rsidRPr="00000000">
        <w:rPr>
          <w:rtl w:val="0"/>
        </w:rPr>
      </w:r>
    </w:p>
    <w:p w:rsidR="00000000" w:rsidDel="00000000" w:rsidP="00000000" w:rsidRDefault="00000000" w:rsidRPr="00000000" w14:paraId="00000022">
      <w:pPr>
        <w:numPr>
          <w:ilvl w:val="1"/>
          <w:numId w:val="3"/>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23">
      <w:pPr>
        <w:numPr>
          <w:ilvl w:val="2"/>
          <w:numId w:val="3"/>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w:t>
      </w:r>
      <w:r w:rsidDel="00000000" w:rsidR="00000000" w:rsidRPr="00000000">
        <w:rPr>
          <w:rtl w:val="0"/>
        </w:rPr>
      </w:r>
    </w:p>
    <w:p w:rsidR="00000000" w:rsidDel="00000000" w:rsidP="00000000" w:rsidRDefault="00000000" w:rsidRPr="00000000" w14:paraId="00000024">
      <w:pPr>
        <w:numPr>
          <w:ilvl w:val="2"/>
          <w:numId w:val="3"/>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r w:rsidDel="00000000" w:rsidR="00000000" w:rsidRPr="00000000">
        <w:rPr>
          <w:rtl w:val="0"/>
        </w:rPr>
      </w:r>
    </w:p>
    <w:p w:rsidR="00000000" w:rsidDel="00000000" w:rsidP="00000000" w:rsidRDefault="00000000" w:rsidRPr="00000000" w14:paraId="00000025">
      <w:pPr>
        <w:numPr>
          <w:ilvl w:val="2"/>
          <w:numId w:val="3"/>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there is no change to the Service Credit Cap.</w:t>
      </w:r>
      <w:r w:rsidDel="00000000" w:rsidR="00000000" w:rsidRPr="00000000">
        <w:rPr>
          <w:rtl w:val="0"/>
        </w:rPr>
      </w:r>
    </w:p>
    <w:p w:rsidR="00000000" w:rsidDel="00000000" w:rsidP="00000000" w:rsidRDefault="00000000" w:rsidRPr="00000000" w14:paraId="00000026">
      <w:pPr>
        <w:numPr>
          <w:ilvl w:val="0"/>
          <w:numId w:val="3"/>
        </w:numP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27">
      <w:pPr>
        <w:spacing w:after="120" w:before="120" w:line="240" w:lineRule="auto"/>
        <w:ind w:left="936" w:hanging="576"/>
        <w:rPr/>
      </w:pPr>
      <w:r w:rsidDel="00000000" w:rsidR="00000000" w:rsidRPr="00000000">
        <w:rPr>
          <w:rFonts w:ascii="Arial" w:cs="Arial" w:eastAsia="Arial" w:hAnsi="Arial"/>
          <w:color w:val="000000"/>
          <w:sz w:val="24"/>
          <w:szCs w:val="24"/>
          <w:rtl w:val="0"/>
        </w:rPr>
        <w:t xml:space="preserve">On the occurrence of a Critical Service Level Failure:</w:t>
      </w:r>
      <w:r w:rsidDel="00000000" w:rsidR="00000000" w:rsidRPr="00000000">
        <w:rPr>
          <w:rtl w:val="0"/>
        </w:rPr>
      </w:r>
    </w:p>
    <w:p w:rsidR="00000000" w:rsidDel="00000000" w:rsidP="00000000" w:rsidRDefault="00000000" w:rsidRPr="00000000" w14:paraId="00000028">
      <w:pPr>
        <w:numPr>
          <w:ilvl w:val="1"/>
          <w:numId w:val="3"/>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9">
      <w:pPr>
        <w:numPr>
          <w:ilvl w:val="1"/>
          <w:numId w:val="3"/>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2A">
      <w:pPr>
        <w:tabs>
          <w:tab w:val="left" w:leader="none" w:pos="3402"/>
        </w:tabs>
        <w:spacing w:after="220" w:before="0" w:line="240" w:lineRule="auto"/>
        <w:ind w:left="720" w:firstLine="0"/>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r w:rsidDel="00000000" w:rsidR="00000000" w:rsidRPr="00000000">
        <w:rPr>
          <w:rtl w:val="0"/>
        </w:rPr>
      </w:r>
    </w:p>
    <w:p w:rsidR="00000000" w:rsidDel="00000000" w:rsidP="00000000" w:rsidRDefault="00000000" w:rsidRPr="00000000" w14:paraId="0000002B">
      <w:pPr>
        <w:tabs>
          <w:tab w:val="left" w:leader="none"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spacing w:after="240" w:before="0" w:line="240" w:lineRule="auto"/>
        <w:rPr/>
      </w:pPr>
      <w:r w:rsidDel="00000000" w:rsidR="00000000" w:rsidRPr="00000000">
        <w:rPr>
          <w:rFonts w:ascii="Arial" w:cs="Arial" w:eastAsia="Arial" w:hAnsi="Arial"/>
          <w:b w:val="1"/>
          <w:color w:val="000000"/>
          <w:sz w:val="36"/>
          <w:szCs w:val="36"/>
          <w:rtl w:val="0"/>
        </w:rPr>
        <w:t xml:space="preserve">Part A: Service Levels and Service Credits</w:t>
      </w:r>
      <w:r w:rsidDel="00000000" w:rsidR="00000000" w:rsidRPr="00000000">
        <w:rPr>
          <w:rtl w:val="0"/>
        </w:rPr>
      </w:r>
    </w:p>
    <w:p w:rsidR="00000000" w:rsidDel="00000000" w:rsidP="00000000" w:rsidRDefault="00000000" w:rsidRPr="00000000" w14:paraId="0000002D">
      <w:pPr>
        <w:numPr>
          <w:ilvl w:val="0"/>
          <w:numId w:val="4"/>
        </w:numP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Service Levels</w:t>
      </w:r>
      <w:r w:rsidDel="00000000" w:rsidR="00000000" w:rsidRPr="00000000">
        <w:rPr>
          <w:rtl w:val="0"/>
        </w:rPr>
      </w:r>
    </w:p>
    <w:p w:rsidR="00000000" w:rsidDel="00000000" w:rsidP="00000000" w:rsidRDefault="00000000" w:rsidRPr="00000000" w14:paraId="0000002E">
      <w:pPr>
        <w:spacing w:after="120" w:before="120" w:line="240" w:lineRule="auto"/>
        <w:ind w:left="720" w:hanging="576"/>
        <w:rPr/>
      </w:pPr>
      <w:r w:rsidDel="00000000" w:rsidR="00000000" w:rsidRPr="00000000">
        <w:rPr>
          <w:rFonts w:ascii="Arial" w:cs="Arial" w:eastAsia="Arial" w:hAnsi="Arial"/>
          <w:color w:val="000000"/>
          <w:sz w:val="24"/>
          <w:szCs w:val="24"/>
          <w:rtl w:val="0"/>
        </w:rPr>
        <w:t xml:space="preserve">If the level of performance of the Supplier:</w:t>
      </w:r>
      <w:r w:rsidDel="00000000" w:rsidR="00000000" w:rsidRPr="00000000">
        <w:rPr>
          <w:rtl w:val="0"/>
        </w:rPr>
      </w:r>
    </w:p>
    <w:p w:rsidR="00000000" w:rsidDel="00000000" w:rsidP="00000000" w:rsidRDefault="00000000" w:rsidRPr="00000000" w14:paraId="0000002F">
      <w:pPr>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30">
      <w:pPr>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is likely to cause or causes a Critical Service Failure to occur,</w:t>
      </w:r>
      <w:r w:rsidDel="00000000" w:rsidR="00000000" w:rsidRPr="00000000">
        <w:rPr>
          <w:rtl w:val="0"/>
        </w:rPr>
      </w:r>
    </w:p>
    <w:p w:rsidR="00000000" w:rsidDel="00000000" w:rsidP="00000000" w:rsidRDefault="00000000" w:rsidRPr="00000000" w14:paraId="00000031">
      <w:pPr>
        <w:spacing w:after="120" w:before="120" w:line="240" w:lineRule="auto"/>
        <w:ind w:left="720" w:hanging="576"/>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r w:rsidDel="00000000" w:rsidR="00000000" w:rsidRPr="00000000">
        <w:rPr>
          <w:rtl w:val="0"/>
        </w:rPr>
      </w:r>
    </w:p>
    <w:p w:rsidR="00000000" w:rsidDel="00000000" w:rsidP="00000000" w:rsidRDefault="00000000" w:rsidRPr="00000000" w14:paraId="00000032">
      <w:pPr>
        <w:numPr>
          <w:ilvl w:val="2"/>
          <w:numId w:val="2"/>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w:t>
      </w:r>
      <w:r w:rsidDel="00000000" w:rsidR="00000000" w:rsidRPr="00000000">
        <w:rPr>
          <w:rtl w:val="0"/>
        </w:rPr>
      </w:r>
    </w:p>
    <w:p w:rsidR="00000000" w:rsidDel="00000000" w:rsidP="00000000" w:rsidRDefault="00000000" w:rsidRPr="00000000" w14:paraId="00000033">
      <w:pPr>
        <w:numPr>
          <w:ilvl w:val="2"/>
          <w:numId w:val="2"/>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instruct the Supplier to comply with the Rectification Plan Process;</w:t>
      </w:r>
      <w:r w:rsidDel="00000000" w:rsidR="00000000" w:rsidRPr="00000000">
        <w:rPr>
          <w:rtl w:val="0"/>
        </w:rPr>
      </w:r>
    </w:p>
    <w:p w:rsidR="00000000" w:rsidDel="00000000" w:rsidP="00000000" w:rsidRDefault="00000000" w:rsidRPr="00000000" w14:paraId="00000034">
      <w:pPr>
        <w:numPr>
          <w:ilvl w:val="2"/>
          <w:numId w:val="2"/>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r w:rsidDel="00000000" w:rsidR="00000000" w:rsidRPr="00000000">
        <w:rPr>
          <w:rtl w:val="0"/>
        </w:rPr>
      </w:r>
    </w:p>
    <w:p w:rsidR="00000000" w:rsidDel="00000000" w:rsidP="00000000" w:rsidRDefault="00000000" w:rsidRPr="00000000" w14:paraId="00000035">
      <w:pPr>
        <w:numPr>
          <w:ilvl w:val="2"/>
          <w:numId w:val="2"/>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r w:rsidDel="00000000" w:rsidR="00000000" w:rsidRPr="00000000">
        <w:rPr>
          <w:rtl w:val="0"/>
        </w:rPr>
      </w:r>
    </w:p>
    <w:p w:rsidR="00000000" w:rsidDel="00000000" w:rsidP="00000000" w:rsidRDefault="00000000" w:rsidRPr="00000000" w14:paraId="00000036">
      <w:pPr>
        <w:tabs>
          <w:tab w:val="left" w:leader="none" w:pos="142"/>
        </w:tabs>
        <w:spacing w:after="120" w:before="240" w:line="240" w:lineRule="auto"/>
        <w:ind w:left="720" w:firstLine="0"/>
        <w:rPr/>
      </w:pPr>
      <w:r w:rsidDel="00000000" w:rsidR="00000000" w:rsidRPr="00000000">
        <w:rPr>
          <w:rtl w:val="0"/>
        </w:rPr>
      </w:r>
    </w:p>
    <w:p w:rsidR="00000000" w:rsidDel="00000000" w:rsidP="00000000" w:rsidRDefault="00000000" w:rsidRPr="00000000" w14:paraId="00000037">
      <w:pPr>
        <w:keepNext w:val="1"/>
        <w:spacing w:after="240" w:before="0" w:line="240" w:lineRule="auto"/>
        <w:rPr/>
      </w:pPr>
      <w:r w:rsidDel="00000000" w:rsidR="00000000" w:rsidRPr="00000000">
        <w:rPr>
          <w:rFonts w:ascii="Arial" w:cs="Arial" w:eastAsia="Arial" w:hAnsi="Arial"/>
          <w:b w:val="1"/>
          <w:color w:val="000000"/>
          <w:sz w:val="36"/>
          <w:szCs w:val="36"/>
          <w:rtl w:val="0"/>
        </w:rPr>
        <w:t xml:space="preserve">Annex A to Part A: Service Levels </w:t>
      </w:r>
      <w:r w:rsidDel="00000000" w:rsidR="00000000" w:rsidRPr="00000000">
        <w:rPr>
          <w:rtl w:val="0"/>
        </w:rPr>
      </w:r>
    </w:p>
    <w:tbl>
      <w:tblPr>
        <w:tblStyle w:val="Table2"/>
        <w:tblW w:w="902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76"/>
        <w:gridCol w:w="2368"/>
        <w:gridCol w:w="3746"/>
        <w:gridCol w:w="1634"/>
        <w:tblGridChange w:id="0">
          <w:tblGrid>
            <w:gridCol w:w="1276"/>
            <w:gridCol w:w="2368"/>
            <w:gridCol w:w="3746"/>
            <w:gridCol w:w="1634"/>
          </w:tblGrid>
        </w:tblGridChange>
      </w:tblGrid>
      <w:tr>
        <w:trPr>
          <w:cantSplit w:val="0"/>
          <w:trHeight w:val="686" w:hRule="atLeast"/>
          <w:tblHeader w:val="0"/>
        </w:trPr>
        <w:tc>
          <w:tcPr>
            <w:tcBorders>
              <w:top w:color="000000" w:space="0" w:sz="4" w:val="single"/>
              <w:left w:color="000000" w:space="0" w:sz="4" w:val="single"/>
              <w:bottom w:color="000000" w:space="0" w:sz="4" w:val="single"/>
              <w:right w:color="000000" w:space="0" w:sz="4" w:val="single"/>
            </w:tcBorders>
            <w:shd w:fill="b8cce4"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KPI/SLA</w:t>
            </w:r>
          </w:p>
        </w:tc>
        <w:tc>
          <w:tcPr>
            <w:tcBorders>
              <w:top w:color="000000" w:space="0" w:sz="4" w:val="single"/>
              <w:left w:color="000000" w:space="0" w:sz="4" w:val="single"/>
              <w:bottom w:color="000000" w:space="0" w:sz="4" w:val="single"/>
              <w:right w:color="000000" w:space="0" w:sz="4" w:val="single"/>
            </w:tcBorders>
            <w:shd w:fill="b8cce4"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Area</w:t>
            </w:r>
          </w:p>
        </w:tc>
        <w:tc>
          <w:tcPr>
            <w:tcBorders>
              <w:top w:color="000000" w:space="0" w:sz="4" w:val="single"/>
              <w:left w:color="000000" w:space="0" w:sz="4" w:val="single"/>
              <w:bottom w:color="000000" w:space="0" w:sz="4" w:val="single"/>
              <w:right w:color="000000" w:space="0" w:sz="4" w:val="single"/>
            </w:tcBorders>
            <w:shd w:fill="b8cce4"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KPI description</w:t>
            </w:r>
          </w:p>
        </w:tc>
        <w:tc>
          <w:tcPr>
            <w:tcBorders>
              <w:top w:color="000000" w:space="0" w:sz="4" w:val="single"/>
              <w:left w:color="000000" w:space="0" w:sz="4" w:val="single"/>
              <w:bottom w:color="000000" w:space="0" w:sz="4" w:val="single"/>
              <w:right w:color="000000" w:space="0" w:sz="4" w:val="single"/>
            </w:tcBorders>
            <w:shd w:fill="b8cce4"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Target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Capacity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translation volumes supported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sz w:val="24"/>
                <w:szCs w:val="24"/>
                <w:rtl w:val="0"/>
              </w:rPr>
              <w:t xml:space="preserve">99%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Quality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translation complexity levels (if appropriate)</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sz w:val="24"/>
                <w:szCs w:val="24"/>
                <w:rtl w:val="0"/>
              </w:rPr>
              <w:t xml:space="preserve">99%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Quality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translation quality level achieved (minimum translation and context errors)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99%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Timeliness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75hbxx6zuct9"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translation completed within timescales expected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99%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Timeliness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translation lead times for availability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48 hrs – 7 days)</w:t>
            </w:r>
            <w:r w:rsidDel="00000000" w:rsidR="00000000" w:rsidRPr="00000000">
              <w:rPr>
                <w:rtl w:val="0"/>
              </w:rPr>
            </w:r>
          </w:p>
        </w:tc>
      </w:tr>
    </w:tbl>
    <w:p w:rsidR="00000000" w:rsidDel="00000000" w:rsidP="00000000" w:rsidRDefault="00000000" w:rsidRPr="00000000" w14:paraId="00000051">
      <w:pPr>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3">
      <w:pPr>
        <w:keepNext w:val="1"/>
        <w:spacing w:after="240" w:before="0" w:line="240" w:lineRule="auto"/>
        <w:rPr/>
      </w:pPr>
      <w:r w:rsidDel="00000000" w:rsidR="00000000" w:rsidRPr="00000000">
        <w:rPr>
          <w:rFonts w:ascii="Arial" w:cs="Arial" w:eastAsia="Arial" w:hAnsi="Arial"/>
          <w:b w:val="1"/>
          <w:color w:val="000000"/>
          <w:sz w:val="36"/>
          <w:szCs w:val="36"/>
          <w:rtl w:val="0"/>
        </w:rPr>
        <w:t xml:space="preserve">Part B: Performance Monitoring</w:t>
      </w:r>
      <w:r w:rsidDel="00000000" w:rsidR="00000000" w:rsidRPr="00000000">
        <w:rPr>
          <w:rtl w:val="0"/>
        </w:rPr>
      </w:r>
    </w:p>
    <w:p w:rsidR="00000000" w:rsidDel="00000000" w:rsidP="00000000" w:rsidRDefault="00000000" w:rsidRPr="00000000" w14:paraId="00000054">
      <w:pPr>
        <w:numPr>
          <w:ilvl w:val="0"/>
          <w:numId w:val="4"/>
        </w:numP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Performance Monitoring and Performance Review</w:t>
      </w:r>
      <w:r w:rsidDel="00000000" w:rsidR="00000000" w:rsidRPr="00000000">
        <w:rPr>
          <w:rtl w:val="0"/>
        </w:rPr>
      </w:r>
    </w:p>
    <w:p w:rsidR="00000000" w:rsidDel="00000000" w:rsidP="00000000" w:rsidRDefault="00000000" w:rsidRPr="00000000" w14:paraId="00000055">
      <w:pPr>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56">
      <w:pPr>
        <w:keepNext w:val="1"/>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57">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058">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059">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details of any Critical Service Level Failures;</w:t>
      </w:r>
      <w:r w:rsidDel="00000000" w:rsidR="00000000" w:rsidRPr="00000000">
        <w:rPr>
          <w:rtl w:val="0"/>
        </w:rPr>
      </w:r>
    </w:p>
    <w:p w:rsidR="00000000" w:rsidDel="00000000" w:rsidP="00000000" w:rsidRDefault="00000000" w:rsidRPr="00000000" w14:paraId="0000005A">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05B">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05C">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05D">
      <w:pPr>
        <w:keepNext w:val="1"/>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05E">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05F">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060">
      <w:pPr>
        <w:numPr>
          <w:ilvl w:val="2"/>
          <w:numId w:val="4"/>
        </w:numP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061">
      <w:pPr>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062">
      <w:pPr>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63">
      <w:pP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numPr>
          <w:ilvl w:val="0"/>
          <w:numId w:val="4"/>
        </w:numP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Satisfaction Surveys</w:t>
      </w:r>
      <w:r w:rsidDel="00000000" w:rsidR="00000000" w:rsidRPr="00000000">
        <w:rPr>
          <w:rtl w:val="0"/>
        </w:rPr>
      </w:r>
    </w:p>
    <w:p w:rsidR="00000000" w:rsidDel="00000000" w:rsidP="00000000" w:rsidRDefault="00000000" w:rsidRPr="00000000" w14:paraId="00000065">
      <w:pPr>
        <w:numPr>
          <w:ilvl w:val="1"/>
          <w:numId w:val="4"/>
        </w:numP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066">
      <w:pPr>
        <w:spacing w:after="120" w:before="120" w:line="240" w:lineRule="auto"/>
        <w:ind w:left="936" w:hanging="576"/>
        <w:jc w:val="both"/>
        <w:rPr/>
      </w:pPr>
      <w:r w:rsidDel="00000000" w:rsidR="00000000" w:rsidRPr="00000000">
        <w:rPr>
          <w:rtl w:val="0"/>
        </w:rPr>
      </w:r>
    </w:p>
    <w:sectPr>
      <w:headerReference r:id="rId8" w:type="default"/>
      <w:footerReference r:id="rId9" w:type="default"/>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tabs>
        <w:tab w:val="center" w:leader="none" w:pos="4513"/>
        <w:tab w:val="right" w:leader="none" w:pos="9026"/>
      </w:tabs>
      <w:spacing w:after="0" w:before="0" w:line="240" w:lineRule="auto"/>
      <w:jc w:val="both"/>
      <w:rPr/>
    </w:pPr>
    <w:r w:rsidDel="00000000" w:rsidR="00000000" w:rsidRPr="00000000">
      <w:rPr>
        <w:rtl w:val="0"/>
      </w:rPr>
    </w:r>
  </w:p>
  <w:p w:rsidR="00000000" w:rsidDel="00000000" w:rsidP="00000000" w:rsidRDefault="00000000" w:rsidRPr="00000000" w14:paraId="00000070">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71">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tabs>
        <w:tab w:val="center" w:leader="none" w:pos="4513"/>
        <w:tab w:val="right" w:leader="none" w:pos="9026"/>
      </w:tabs>
      <w:spacing w:after="0" w:before="0" w:line="240" w:lineRule="auto"/>
      <w:jc w:val="both"/>
      <w:rPr/>
    </w:pPr>
    <w:r w:rsidDel="00000000" w:rsidR="00000000" w:rsidRPr="00000000">
      <w:rPr>
        <w:rtl w:val="0"/>
      </w:rPr>
    </w:r>
  </w:p>
  <w:p w:rsidR="00000000" w:rsidDel="00000000" w:rsidP="00000000" w:rsidRDefault="00000000" w:rsidRPr="00000000" w14:paraId="00000074">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75">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tabs>
        <w:tab w:val="center" w:leader="none" w:pos="4513"/>
        <w:tab w:val="right" w:leader="none" w:pos="9026"/>
      </w:tabs>
      <w:spacing w:after="0" w:before="0" w:line="240" w:lineRule="auto"/>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68">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Call-Off Ref:</w:t>
    </w:r>
    <w:r w:rsidDel="00000000" w:rsidR="00000000" w:rsidRPr="00000000">
      <w:rPr>
        <w:rtl w:val="0"/>
      </w:rPr>
    </w:r>
  </w:p>
  <w:p w:rsidR="00000000" w:rsidDel="00000000" w:rsidP="00000000" w:rsidRDefault="00000000" w:rsidRPr="00000000" w14:paraId="00000069">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tl w:val="0"/>
      </w:rPr>
    </w:r>
  </w:p>
  <w:p w:rsidR="00000000" w:rsidDel="00000000" w:rsidP="00000000" w:rsidRDefault="00000000" w:rsidRPr="00000000" w14:paraId="0000006A">
    <w:pPr>
      <w:tabs>
        <w:tab w:val="center" w:leader="none" w:pos="4513"/>
        <w:tab w:val="right" w:leader="none" w:pos="9026"/>
      </w:tabs>
      <w:spacing w:after="0" w:before="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tabs>
        <w:tab w:val="center" w:leader="none" w:pos="4513"/>
        <w:tab w:val="right" w:leader="none" w:pos="9026"/>
      </w:tabs>
      <w:spacing w:after="0" w:before="0" w:line="240" w:lineRule="auto"/>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6C">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Call-Off Ref:</w:t>
    </w:r>
    <w:r w:rsidDel="00000000" w:rsidR="00000000" w:rsidRPr="00000000">
      <w:rPr>
        <w:rtl w:val="0"/>
      </w:rPr>
    </w:r>
  </w:p>
  <w:p w:rsidR="00000000" w:rsidDel="00000000" w:rsidP="00000000" w:rsidRDefault="00000000" w:rsidRPr="00000000" w14:paraId="0000006D">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tl w:val="0"/>
      </w:rPr>
    </w:r>
  </w:p>
  <w:p w:rsidR="00000000" w:rsidDel="00000000" w:rsidP="00000000" w:rsidRDefault="00000000" w:rsidRPr="00000000" w14:paraId="0000006E">
    <w:pPr>
      <w:tabs>
        <w:tab w:val="center" w:leader="none" w:pos="4513"/>
        <w:tab w:val="right" w:leader="none" w:pos="9026"/>
      </w:tabs>
      <w:spacing w:after="0" w:before="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b w:val="0"/>
        <w:sz w:val="24"/>
        <w:szCs w:val="24"/>
      </w:rPr>
    </w:lvl>
    <w:lvl w:ilvl="1">
      <w:start w:val="1"/>
      <w:numFmt w:val="lowerLetter"/>
      <w:lvlText w:val="%2)"/>
      <w:lvlJc w:val="left"/>
      <w:pPr>
        <w:ind w:left="720" w:hanging="360"/>
      </w:pPr>
      <w:rPr>
        <w:b w:val="0"/>
        <w:i w:val="0"/>
        <w:smallCaps w:val="0"/>
        <w:strike w:val="0"/>
        <w:color w:val="00000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720" w:hanging="720"/>
      </w:pPr>
      <w:rPr>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40"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